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B02" w:rsidRPr="00E84B02" w:rsidRDefault="00E84B02" w:rsidP="00E84B02">
      <w:pPr>
        <w:spacing w:after="0" w:line="240" w:lineRule="auto"/>
        <w:rPr>
          <w:rFonts w:ascii="Arial" w:eastAsia="Times New Roman" w:hAnsi="Arial" w:cs="Arial"/>
          <w:color w:val="000000"/>
          <w:sz w:val="27"/>
          <w:szCs w:val="27"/>
          <w:lang w:eastAsia="es-CO"/>
        </w:rPr>
      </w:pPr>
      <w:r w:rsidRPr="00E84B02">
        <w:rPr>
          <w:rFonts w:ascii="Arial" w:eastAsia="Times New Roman" w:hAnsi="Arial" w:cs="Arial"/>
          <w:color w:val="000000"/>
          <w:sz w:val="27"/>
          <w:szCs w:val="27"/>
          <w:lang w:eastAsia="es-CO"/>
        </w:rPr>
        <w:br/>
        <w:t>Gaceta Departamental 021 del 10 de septiembre de 2010. Objeción</w:t>
      </w:r>
    </w:p>
    <w:p w:rsidR="00E84B02" w:rsidRDefault="00E84B02" w:rsidP="00E84B02">
      <w:pPr>
        <w:pStyle w:val="NormalWeb"/>
        <w:rPr>
          <w:rFonts w:ascii="Tahoma" w:hAnsi="Tahoma" w:cs="Tahoma"/>
          <w:b/>
          <w:bCs/>
          <w:color w:val="38871F"/>
          <w:sz w:val="16"/>
          <w:szCs w:val="16"/>
        </w:rPr>
      </w:pPr>
      <w:bookmarkStart w:id="0" w:name="_GoBack"/>
      <w:bookmarkEnd w:id="0"/>
    </w:p>
    <w:p w:rsidR="00E84B02" w:rsidRDefault="00E84B02" w:rsidP="00E84B02">
      <w:pPr>
        <w:pStyle w:val="NormalWeb"/>
        <w:rPr>
          <w:rFonts w:ascii="Arial" w:hAnsi="Arial" w:cs="Arial"/>
          <w:b/>
          <w:bCs/>
          <w:color w:val="38871F"/>
          <w:sz w:val="30"/>
          <w:szCs w:val="30"/>
        </w:rPr>
      </w:pPr>
      <w:r>
        <w:rPr>
          <w:rFonts w:ascii="Tahoma" w:hAnsi="Tahoma" w:cs="Tahoma"/>
          <w:b/>
          <w:bCs/>
          <w:color w:val="38871F"/>
          <w:sz w:val="16"/>
          <w:szCs w:val="16"/>
        </w:rPr>
        <w:t>CODIGO TRD </w:t>
      </w:r>
      <w:r>
        <w:rPr>
          <w:rStyle w:val="apple-converted-space"/>
          <w:rFonts w:ascii="Tahoma" w:hAnsi="Tahoma" w:cs="Tahoma"/>
          <w:b/>
          <w:bCs/>
          <w:color w:val="38871F"/>
          <w:sz w:val="16"/>
          <w:szCs w:val="16"/>
        </w:rPr>
        <w:t> </w:t>
      </w:r>
      <w:r>
        <w:rPr>
          <w:rFonts w:ascii="Tahoma" w:hAnsi="Tahoma" w:cs="Tahoma"/>
          <w:b/>
          <w:bCs/>
          <w:color w:val="38871F"/>
          <w:sz w:val="16"/>
          <w:szCs w:val="16"/>
        </w:rPr>
        <w:t>                                                                                    </w:t>
      </w:r>
      <w:r>
        <w:rPr>
          <w:rStyle w:val="apple-converted-space"/>
          <w:rFonts w:ascii="Tahoma" w:hAnsi="Tahoma" w:cs="Tahoma"/>
          <w:b/>
          <w:bCs/>
          <w:color w:val="38871F"/>
          <w:sz w:val="16"/>
          <w:szCs w:val="16"/>
        </w:rPr>
        <w:t> </w:t>
      </w:r>
      <w:r>
        <w:rPr>
          <w:rFonts w:ascii="Tahoma" w:hAnsi="Tahoma" w:cs="Tahoma"/>
          <w:b/>
          <w:bCs/>
          <w:color w:val="38871F"/>
          <w:sz w:val="16"/>
          <w:szCs w:val="16"/>
        </w:rPr>
        <w:t>Radicado                                                                                                            </w:t>
      </w:r>
      <w:r>
        <w:rPr>
          <w:rStyle w:val="apple-converted-space"/>
          <w:rFonts w:ascii="Tahoma" w:hAnsi="Tahoma" w:cs="Tahoma"/>
          <w:b/>
          <w:bCs/>
          <w:color w:val="38871F"/>
          <w:sz w:val="16"/>
          <w:szCs w:val="16"/>
        </w:rPr>
        <w:t> </w:t>
      </w:r>
      <w:r>
        <w:rPr>
          <w:rFonts w:ascii="Tahoma" w:hAnsi="Tahoma" w:cs="Tahoma"/>
          <w:b/>
          <w:bCs/>
          <w:color w:val="38871F"/>
          <w:sz w:val="16"/>
          <w:szCs w:val="16"/>
        </w:rPr>
        <w:t>                              </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Arauca,</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Doctor</w:t>
      </w:r>
    </w:p>
    <w:p w:rsidR="00E84B02" w:rsidRDefault="00E84B02" w:rsidP="00E84B02">
      <w:pPr>
        <w:pStyle w:val="NormalWeb"/>
        <w:jc w:val="both"/>
        <w:rPr>
          <w:rFonts w:ascii="Arial" w:hAnsi="Arial" w:cs="Arial"/>
          <w:color w:val="666666"/>
          <w:sz w:val="21"/>
          <w:szCs w:val="21"/>
        </w:rPr>
      </w:pPr>
      <w:r>
        <w:rPr>
          <w:rStyle w:val="Textoennegrita"/>
          <w:rFonts w:ascii="Tahoma" w:hAnsi="Tahoma" w:cs="Tahoma"/>
          <w:color w:val="666666"/>
          <w:sz w:val="16"/>
          <w:szCs w:val="16"/>
        </w:rPr>
        <w:t>PEDRO JESUS ORJUELA GOMEZ</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Presidente Asamblea Departamental</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Ciudad.-</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Asunto: Objeción Ordenanza 002E de 2010.</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Respetados Diputados:</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LUIS EDUARDO ATAYA ARIAS, en mi condición de Gobernador del Departamento de Arauca y representante legal de esta Entidad Territorial, debidamente posesionado y en ejercicio de mis funciones constitucionales y legales, presento a través de esta comunicación objeción por ilegalidad a la Ordenanza 002E de 2010 POR EL CUAL SE ADICIONAN UNOS RECURSOS AL PRESUPUESTO DE INGRESOS DE LA CONTRALORIA DEPARTAMENTAL DE ARAUCA VIGENCIA 2010, POR CONCEPTO DE CUOTA DE FISCALIZACION, de conformidad con lo señalado en el artículo 78 del Decreto 1222 de 1986, en los siguientes términos:</w:t>
      </w:r>
    </w:p>
    <w:p w:rsidR="00E84B02" w:rsidRDefault="00E84B02" w:rsidP="00E84B02">
      <w:pPr>
        <w:pStyle w:val="Ttulo5"/>
        <w:rPr>
          <w:rFonts w:ascii="Arial" w:hAnsi="Arial" w:cs="Arial"/>
          <w:color w:val="666666"/>
          <w:sz w:val="20"/>
          <w:szCs w:val="20"/>
        </w:rPr>
      </w:pPr>
      <w:r>
        <w:rPr>
          <w:rFonts w:ascii="Tahoma" w:hAnsi="Tahoma" w:cs="Tahoma"/>
          <w:color w:val="666666"/>
          <w:sz w:val="16"/>
          <w:szCs w:val="16"/>
        </w:rPr>
        <w:t>I. HECHOS</w:t>
      </w:r>
    </w:p>
    <w:p w:rsidR="00E84B02" w:rsidRDefault="00E84B02" w:rsidP="00E84B02">
      <w:pPr>
        <w:numPr>
          <w:ilvl w:val="0"/>
          <w:numId w:val="1"/>
        </w:numPr>
        <w:spacing w:before="100" w:beforeAutospacing="1" w:after="100" w:afterAutospacing="1" w:line="240" w:lineRule="auto"/>
        <w:rPr>
          <w:rFonts w:ascii="Arial" w:hAnsi="Arial" w:cs="Arial"/>
          <w:color w:val="666666"/>
          <w:sz w:val="21"/>
          <w:szCs w:val="21"/>
        </w:rPr>
      </w:pPr>
      <w:r>
        <w:rPr>
          <w:rFonts w:ascii="Tahoma" w:hAnsi="Tahoma" w:cs="Tahoma"/>
          <w:color w:val="666666"/>
          <w:sz w:val="16"/>
          <w:szCs w:val="16"/>
        </w:rPr>
        <w:t>1.</w:t>
      </w:r>
      <w:r>
        <w:rPr>
          <w:rStyle w:val="apple-converted-space"/>
          <w:color w:val="666666"/>
          <w:sz w:val="14"/>
          <w:szCs w:val="14"/>
        </w:rPr>
        <w:t> </w:t>
      </w:r>
      <w:r>
        <w:rPr>
          <w:rFonts w:ascii="Tahoma" w:hAnsi="Tahoma" w:cs="Tahoma"/>
          <w:color w:val="666666"/>
          <w:sz w:val="16"/>
          <w:szCs w:val="16"/>
        </w:rPr>
        <w:t>Mediante oficio SGAD - 2010 - 209</w:t>
      </w:r>
      <w:r>
        <w:rPr>
          <w:rStyle w:val="apple-converted-space"/>
          <w:rFonts w:ascii="Tahoma" w:hAnsi="Tahoma" w:cs="Tahoma"/>
          <w:color w:val="666666"/>
          <w:sz w:val="16"/>
          <w:szCs w:val="16"/>
        </w:rPr>
        <w:t> </w:t>
      </w:r>
      <w:r>
        <w:rPr>
          <w:rFonts w:ascii="Tahoma" w:hAnsi="Tahoma" w:cs="Tahoma"/>
          <w:color w:val="666666"/>
          <w:sz w:val="16"/>
          <w:szCs w:val="16"/>
        </w:rPr>
        <w:t>de fecha 03 de septiembre de 2010, fue remitido por el Presidente de la Asamblea Departamental la Ordenanza 002E de 2010</w:t>
      </w:r>
      <w:r>
        <w:rPr>
          <w:rStyle w:val="apple-converted-space"/>
          <w:rFonts w:ascii="Tahoma" w:hAnsi="Tahoma" w:cs="Tahoma"/>
          <w:color w:val="666666"/>
          <w:sz w:val="16"/>
          <w:szCs w:val="16"/>
        </w:rPr>
        <w:t> </w:t>
      </w:r>
      <w:r>
        <w:rPr>
          <w:rFonts w:ascii="Tahoma" w:hAnsi="Tahoma" w:cs="Tahoma"/>
          <w:color w:val="666666"/>
          <w:sz w:val="16"/>
          <w:szCs w:val="16"/>
        </w:rPr>
        <w:t>POR EL CUAL SE ADICIONAN UNOS RECURSOS AL PRESUPUESTO DE INGRESOS DE LA CONTRALORIA DEPARTAMENTAL DE ARAUCA VIGENCIA 2010, POR CONCEPTO DE CUOTA DE FISCALIZACION, recibido por la Gobernación del Departamento de Arauca a través del Despacho del Gobernador el día 6 de septiembre del presente año.</w:t>
      </w:r>
    </w:p>
    <w:p w:rsidR="00E84B02" w:rsidRDefault="00E84B02" w:rsidP="00E84B02">
      <w:pPr>
        <w:numPr>
          <w:ilvl w:val="0"/>
          <w:numId w:val="1"/>
        </w:numPr>
        <w:spacing w:before="100" w:beforeAutospacing="1" w:after="100" w:afterAutospacing="1" w:line="240" w:lineRule="auto"/>
        <w:rPr>
          <w:rFonts w:ascii="Arial" w:hAnsi="Arial" w:cs="Arial"/>
          <w:color w:val="666666"/>
          <w:sz w:val="21"/>
          <w:szCs w:val="21"/>
        </w:rPr>
      </w:pPr>
      <w:r>
        <w:rPr>
          <w:rFonts w:ascii="Tahoma" w:hAnsi="Tahoma" w:cs="Tahoma"/>
          <w:color w:val="666666"/>
          <w:sz w:val="16"/>
          <w:szCs w:val="16"/>
        </w:rPr>
        <w:t>2.</w:t>
      </w:r>
      <w:r>
        <w:rPr>
          <w:rStyle w:val="apple-converted-space"/>
          <w:color w:val="666666"/>
          <w:sz w:val="14"/>
          <w:szCs w:val="14"/>
        </w:rPr>
        <w:t> </w:t>
      </w:r>
      <w:r>
        <w:rPr>
          <w:rFonts w:ascii="Tahoma" w:hAnsi="Tahoma" w:cs="Tahoma"/>
          <w:color w:val="666666"/>
          <w:sz w:val="16"/>
          <w:szCs w:val="16"/>
        </w:rPr>
        <w:t>La Ordenanza</w:t>
      </w:r>
      <w:r>
        <w:rPr>
          <w:rStyle w:val="apple-converted-space"/>
          <w:rFonts w:ascii="Tahoma" w:hAnsi="Tahoma" w:cs="Tahoma"/>
          <w:color w:val="666666"/>
          <w:sz w:val="16"/>
          <w:szCs w:val="16"/>
        </w:rPr>
        <w:t> </w:t>
      </w:r>
      <w:r>
        <w:rPr>
          <w:rFonts w:ascii="Tahoma" w:hAnsi="Tahoma" w:cs="Tahoma"/>
          <w:color w:val="666666"/>
          <w:sz w:val="16"/>
          <w:szCs w:val="16"/>
        </w:rPr>
        <w:t>en mención, según certificado expedido por el Secretario General Dr. EMILIO WILFREDO GALINDEZ CADENA, obtuvo sus debates reglamentarios en días y sesiones distintas así: PRIMER DEBATE: el día 01 de Septiembre de 2010. SEGUNDO DEBATE: el dio el día 02 de Septiembre de 2010 y TERCER DEBATE: el día 03 de septiembre de 2010, en estricto obedecimiento a lo preceptuado en el artículo 75 del Decreto 1222 de 1986.</w:t>
      </w:r>
    </w:p>
    <w:p w:rsidR="00E84B02" w:rsidRDefault="00E84B02" w:rsidP="00E84B02">
      <w:pPr>
        <w:numPr>
          <w:ilvl w:val="0"/>
          <w:numId w:val="1"/>
        </w:numPr>
        <w:spacing w:before="100" w:beforeAutospacing="1" w:after="100" w:afterAutospacing="1" w:line="240" w:lineRule="auto"/>
        <w:rPr>
          <w:rFonts w:ascii="Arial" w:hAnsi="Arial" w:cs="Arial"/>
          <w:color w:val="666666"/>
          <w:sz w:val="21"/>
          <w:szCs w:val="21"/>
        </w:rPr>
      </w:pPr>
      <w:r>
        <w:rPr>
          <w:rFonts w:ascii="Tahoma" w:hAnsi="Tahoma" w:cs="Tahoma"/>
          <w:color w:val="666666"/>
          <w:sz w:val="16"/>
          <w:szCs w:val="16"/>
        </w:rPr>
        <w:t>3.</w:t>
      </w:r>
      <w:r>
        <w:rPr>
          <w:rStyle w:val="apple-converted-space"/>
          <w:color w:val="666666"/>
          <w:sz w:val="14"/>
          <w:szCs w:val="14"/>
        </w:rPr>
        <w:t> </w:t>
      </w:r>
      <w:r>
        <w:rPr>
          <w:rFonts w:ascii="Tahoma" w:hAnsi="Tahoma" w:cs="Tahoma"/>
          <w:color w:val="666666"/>
          <w:sz w:val="16"/>
          <w:szCs w:val="16"/>
        </w:rPr>
        <w:t>La Ordenanza</w:t>
      </w:r>
      <w:r>
        <w:rPr>
          <w:rStyle w:val="apple-converted-space"/>
          <w:rFonts w:ascii="Tahoma" w:hAnsi="Tahoma" w:cs="Tahoma"/>
          <w:color w:val="666666"/>
          <w:sz w:val="16"/>
          <w:szCs w:val="16"/>
        </w:rPr>
        <w:t> </w:t>
      </w:r>
      <w:r>
        <w:rPr>
          <w:rFonts w:ascii="Tahoma" w:hAnsi="Tahoma" w:cs="Tahoma"/>
          <w:color w:val="666666"/>
          <w:sz w:val="16"/>
          <w:szCs w:val="16"/>
        </w:rPr>
        <w:t>consta de menos de 20 artículos, en tal sentido dentro de los cuatro días hábiles siguientes deberá procederse a su sanción u objetarse por ilegalidad o inconstitucionalidad o por inconveniencia, término este que vence el día 10 de septiembre de 2010, con fundamento en lo señalado en el artículo 78 del Decreto 1222 de 1986.</w:t>
      </w:r>
    </w:p>
    <w:p w:rsidR="00E84B02" w:rsidRDefault="00E84B02" w:rsidP="00E84B02">
      <w:pPr>
        <w:numPr>
          <w:ilvl w:val="0"/>
          <w:numId w:val="1"/>
        </w:numPr>
        <w:spacing w:before="100" w:beforeAutospacing="1" w:after="100" w:afterAutospacing="1" w:line="240" w:lineRule="auto"/>
        <w:rPr>
          <w:rFonts w:ascii="Arial" w:hAnsi="Arial" w:cs="Arial"/>
          <w:color w:val="666666"/>
          <w:sz w:val="21"/>
          <w:szCs w:val="21"/>
        </w:rPr>
      </w:pPr>
      <w:r>
        <w:rPr>
          <w:rFonts w:ascii="Tahoma" w:hAnsi="Tahoma" w:cs="Tahoma"/>
          <w:color w:val="666666"/>
          <w:sz w:val="16"/>
          <w:szCs w:val="16"/>
        </w:rPr>
        <w:t>4.</w:t>
      </w:r>
      <w:r>
        <w:rPr>
          <w:rStyle w:val="apple-converted-space"/>
          <w:color w:val="666666"/>
          <w:sz w:val="14"/>
          <w:szCs w:val="14"/>
        </w:rPr>
        <w:t> </w:t>
      </w:r>
      <w:r>
        <w:rPr>
          <w:rFonts w:ascii="Tahoma" w:hAnsi="Tahoma" w:cs="Tahoma"/>
          <w:color w:val="666666"/>
          <w:sz w:val="16"/>
          <w:szCs w:val="16"/>
        </w:rPr>
        <w:t>La presente Ordenanza será objetada por ilegalidad, atendiendo el procedimiento señalado en el artículo 78 del Decreto 1222 de 1986, en atención a que en su artículo tercero se establece un término de entrada en vigor que no consulta los postulados legales.</w:t>
      </w:r>
    </w:p>
    <w:p w:rsidR="00E84B02" w:rsidRDefault="00E84B02" w:rsidP="00E84B02">
      <w:pPr>
        <w:pStyle w:val="NormalWeb"/>
        <w:jc w:val="center"/>
        <w:rPr>
          <w:rFonts w:ascii="Arial" w:hAnsi="Arial" w:cs="Arial"/>
          <w:color w:val="666666"/>
          <w:sz w:val="21"/>
          <w:szCs w:val="21"/>
        </w:rPr>
      </w:pPr>
      <w:r>
        <w:rPr>
          <w:rStyle w:val="Textoennegrita"/>
          <w:rFonts w:ascii="Tahoma" w:hAnsi="Tahoma" w:cs="Tahoma"/>
          <w:color w:val="666666"/>
          <w:sz w:val="16"/>
          <w:szCs w:val="16"/>
        </w:rPr>
        <w:t>II. NORMA VIOLADA Y EL CONCEPTO DE SU VIOLACION</w:t>
      </w:r>
    </w:p>
    <w:p w:rsidR="00E84B02" w:rsidRDefault="00E84B02" w:rsidP="00E84B02">
      <w:pPr>
        <w:pStyle w:val="NormalWeb"/>
        <w:jc w:val="center"/>
        <w:rPr>
          <w:rFonts w:ascii="Arial" w:hAnsi="Arial" w:cs="Arial"/>
          <w:color w:val="666666"/>
          <w:sz w:val="21"/>
          <w:szCs w:val="21"/>
        </w:rPr>
      </w:pPr>
      <w:r>
        <w:rPr>
          <w:rFonts w:ascii="Arial" w:hAnsi="Arial" w:cs="Arial"/>
          <w:color w:val="666666"/>
          <w:sz w:val="21"/>
          <w:szCs w:val="21"/>
        </w:rPr>
        <w:t> </w:t>
      </w:r>
    </w:p>
    <w:p w:rsidR="00E84B02" w:rsidRDefault="00E84B02" w:rsidP="00E84B02">
      <w:pPr>
        <w:pStyle w:val="NormalWeb"/>
        <w:jc w:val="center"/>
        <w:rPr>
          <w:rFonts w:ascii="Arial" w:hAnsi="Arial" w:cs="Arial"/>
          <w:color w:val="666666"/>
          <w:sz w:val="21"/>
          <w:szCs w:val="21"/>
        </w:rPr>
      </w:pPr>
      <w:r>
        <w:rPr>
          <w:rStyle w:val="Textoennegrita"/>
          <w:rFonts w:ascii="Tahoma" w:hAnsi="Tahoma" w:cs="Tahoma"/>
          <w:color w:val="666666"/>
          <w:sz w:val="16"/>
          <w:szCs w:val="16"/>
        </w:rPr>
        <w:t>DISPOSICIONES CONCULCADAS:</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lastRenderedPageBreak/>
        <w:t>En este acápite nos permitimos precisar la disposición de carácter </w:t>
      </w:r>
      <w:r>
        <w:rPr>
          <w:rStyle w:val="apple-converted-space"/>
          <w:rFonts w:ascii="Tahoma" w:hAnsi="Tahoma" w:cs="Tahoma"/>
          <w:color w:val="666666"/>
          <w:sz w:val="16"/>
          <w:szCs w:val="16"/>
        </w:rPr>
        <w:t> </w:t>
      </w:r>
      <w:r>
        <w:rPr>
          <w:rFonts w:ascii="Tahoma" w:hAnsi="Tahoma" w:cs="Tahoma"/>
          <w:color w:val="666666"/>
          <w:sz w:val="16"/>
          <w:szCs w:val="16"/>
        </w:rPr>
        <w:t>Legal que se vulneraría con la sanción de la Ordenanza 002E de 2010: </w:t>
      </w:r>
    </w:p>
    <w:p w:rsidR="00E84B02" w:rsidRDefault="00E84B02" w:rsidP="00E84B02">
      <w:pPr>
        <w:pStyle w:val="NormalWeb"/>
        <w:jc w:val="both"/>
        <w:rPr>
          <w:rFonts w:ascii="Arial" w:hAnsi="Arial" w:cs="Arial"/>
          <w:color w:val="666666"/>
          <w:sz w:val="21"/>
          <w:szCs w:val="21"/>
        </w:rPr>
      </w:pPr>
      <w:r>
        <w:rPr>
          <w:rStyle w:val="Textoennegrita"/>
          <w:rFonts w:ascii="Tahoma" w:hAnsi="Tahoma" w:cs="Tahoma"/>
          <w:color w:val="666666"/>
          <w:sz w:val="16"/>
          <w:szCs w:val="16"/>
          <w:u w:val="single"/>
        </w:rPr>
        <w:t>DECRETO 1222 DE 1986</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 "Artículo 83.- Las ordenanzas rigen en todo el territorio del departamento, treinta días después de su publicación en el periódico oficial.</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Sin embargo, las asambleas pueden reglamentar este punto como a bien lo tengan,</w:t>
      </w:r>
      <w:r>
        <w:rPr>
          <w:rStyle w:val="apple-converted-space"/>
          <w:rFonts w:ascii="Tahoma" w:hAnsi="Tahoma" w:cs="Tahoma"/>
          <w:color w:val="666666"/>
          <w:sz w:val="16"/>
          <w:szCs w:val="16"/>
        </w:rPr>
        <w:t> </w:t>
      </w:r>
      <w:r>
        <w:rPr>
          <w:rStyle w:val="Textoennegrita"/>
          <w:rFonts w:ascii="Tahoma" w:hAnsi="Tahoma" w:cs="Tahoma"/>
          <w:color w:val="666666"/>
          <w:sz w:val="16"/>
          <w:szCs w:val="16"/>
        </w:rPr>
        <w:t>pero en todo caso ninguna ordenanza podrá ser obligatoria antes de su promulgación"...</w:t>
      </w:r>
    </w:p>
    <w:p w:rsidR="00E84B02" w:rsidRDefault="00E84B02" w:rsidP="00E84B02">
      <w:pPr>
        <w:pStyle w:val="NormalWeb"/>
        <w:jc w:val="both"/>
        <w:rPr>
          <w:rFonts w:ascii="Arial" w:hAnsi="Arial" w:cs="Arial"/>
          <w:color w:val="666666"/>
          <w:sz w:val="21"/>
          <w:szCs w:val="21"/>
        </w:rPr>
      </w:pPr>
      <w:bookmarkStart w:id="1" w:name="52"/>
      <w:bookmarkEnd w:id="1"/>
      <w:r>
        <w:rPr>
          <w:rStyle w:val="Textoennegrita"/>
          <w:rFonts w:ascii="Tahoma" w:hAnsi="Tahoma" w:cs="Tahoma"/>
          <w:color w:val="666666"/>
          <w:sz w:val="16"/>
          <w:szCs w:val="16"/>
          <w:u w:val="single"/>
        </w:rPr>
        <w:t>CODIGO DE REGIMEN POLITICO Y MUNICIPAL</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 "ARTICULO 52. La ley no obliga sino en virtud de su promulgación, y su observancia principia dos meses después de promulgada.</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La promulgación consiste en insertar la ley en el periódico oficial, y se entiende consumada en la fecha del número en que termine la inserción."...</w:t>
      </w:r>
    </w:p>
    <w:p w:rsidR="00E84B02" w:rsidRDefault="00E84B02" w:rsidP="00E84B02">
      <w:pPr>
        <w:pStyle w:val="Ttulo6"/>
        <w:jc w:val="center"/>
        <w:rPr>
          <w:rFonts w:ascii="Arial" w:hAnsi="Arial" w:cs="Arial"/>
          <w:color w:val="666666"/>
          <w:sz w:val="15"/>
          <w:szCs w:val="15"/>
        </w:rPr>
      </w:pPr>
      <w:r>
        <w:rPr>
          <w:rFonts w:ascii="Tahoma" w:hAnsi="Tahoma" w:cs="Tahoma"/>
          <w:color w:val="666666"/>
          <w:sz w:val="16"/>
          <w:szCs w:val="16"/>
        </w:rPr>
        <w:t>CONCEPTO DE VIOLACIÓN</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El Decreto 1222 de 1986 establece en su integridad el procedimiento en materia de presentación o iniciativa de los proyectos de ordenanza; Unidad de Materia; Debates; Objeciones; Sanción; Publicación; Entrada en Vigor; Revisión ante la Jurisdicción Contenciosa, entre otros.</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Sobre este punto, debemos detenernos en lo consignado en el artículo 3 del referido acto administrativo de carácter general, en el cual, si bien se impone que la Ordenanza 002E de 2010, entrará a regir a partir de la fecha de su sanción y publicación, incluye dentro del mismo articulado una condición que no es consecuente con los efectos de los actos en el tiempo, al señalar que producirá efectos fiscales a partir del 1 de Enero de 2010.</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Para los fines pertinentes, es importante traer a colación apartes doctrinales, sobre la </w:t>
      </w:r>
      <w:r>
        <w:rPr>
          <w:rStyle w:val="apple-converted-space"/>
          <w:rFonts w:ascii="Tahoma" w:hAnsi="Tahoma" w:cs="Tahoma"/>
          <w:color w:val="666666"/>
          <w:sz w:val="16"/>
          <w:szCs w:val="16"/>
        </w:rPr>
        <w:t> </w:t>
      </w:r>
      <w:r>
        <w:rPr>
          <w:rFonts w:ascii="Tahoma" w:hAnsi="Tahoma" w:cs="Tahoma"/>
          <w:color w:val="666666"/>
          <w:sz w:val="16"/>
          <w:szCs w:val="16"/>
        </w:rPr>
        <w:t>no retroactividad de los actos administrativos, en los siguientes términos: ..."Tanto la doctrina como la jurisprudencia siempre han sostenido que los Actos administrativos, al igual que la ley, sólo rigen hacía el futuro, respetándose obviamente las situaciones jurídicas individuales.</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La jurisprudencia del Consejo de Estado ha sido unánime al sostener la tesis de la irretroactividad del Acto administrativo y en sentencia de diciembre 12 de 1.984 expreso: "ACTOS ADMINISTRATIVOS. IRRETROACTIVIDAD. No pueden surtir efectos con anterioridad a su vigencia; solo en forma excepcional puede un Acto administrativo tener efectos hacía el pasado y siempre con base en una autorización legal".</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 El principio de la irretroactividad de los actos jurídicos es uno de los pilares del Estado de Derecho ya que las relaciones jurídicas requieren seguridad y estabilidad sin las cuales surgiría el caos y la arbitrariedad.</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 xml:space="preserve">A este respecto, la Sala de Consulta y Servicio Civil del Consejo de Estado del 25 de febrero de 1975 se expresó, así: (...) De la irretroactividad de la ley se deduce la irretroactividad de los Actos Administrativos, los cuáles no pueden surtir efecto con anterioridad a su vigencia. Solo en forma excepcional puede un Acto administrativo tener efectos hacia el pasado y siempre </w:t>
      </w:r>
      <w:proofErr w:type="gramStart"/>
      <w:r>
        <w:rPr>
          <w:rFonts w:ascii="Tahoma" w:hAnsi="Tahoma" w:cs="Tahoma"/>
          <w:color w:val="666666"/>
          <w:sz w:val="16"/>
          <w:szCs w:val="16"/>
        </w:rPr>
        <w:t>con</w:t>
      </w:r>
      <w:proofErr w:type="gramEnd"/>
      <w:r>
        <w:rPr>
          <w:rFonts w:ascii="Tahoma" w:hAnsi="Tahoma" w:cs="Tahoma"/>
          <w:color w:val="666666"/>
          <w:sz w:val="16"/>
          <w:szCs w:val="16"/>
        </w:rPr>
        <w:t xml:space="preserve"> base en una autorización legal."...</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Con fundamento en lo anterior, está suficientemente explicitado que la Ordenanza 002E de 2010, conculca disposiciones de orden legal, en especial el artículo 83 del Decreto 1222 de 1986 y el artículo 52 del Código de Régimen</w:t>
      </w:r>
      <w:r>
        <w:rPr>
          <w:rStyle w:val="apple-converted-space"/>
          <w:rFonts w:ascii="Tahoma" w:hAnsi="Tahoma" w:cs="Tahoma"/>
          <w:color w:val="666666"/>
          <w:sz w:val="16"/>
          <w:szCs w:val="16"/>
        </w:rPr>
        <w:t> </w:t>
      </w:r>
      <w:r>
        <w:rPr>
          <w:rFonts w:ascii="Tahoma" w:hAnsi="Tahoma" w:cs="Tahoma"/>
          <w:color w:val="666666"/>
          <w:sz w:val="16"/>
          <w:szCs w:val="16"/>
        </w:rPr>
        <w:t xml:space="preserve"> por analogía </w:t>
      </w:r>
      <w:proofErr w:type="spellStart"/>
      <w:r>
        <w:rPr>
          <w:rFonts w:ascii="Tahoma" w:hAnsi="Tahoma" w:cs="Tahoma"/>
          <w:color w:val="666666"/>
          <w:sz w:val="16"/>
          <w:szCs w:val="16"/>
        </w:rPr>
        <w:t>legis</w:t>
      </w:r>
      <w:proofErr w:type="spellEnd"/>
      <w:r>
        <w:rPr>
          <w:rFonts w:ascii="Tahoma" w:hAnsi="Tahoma" w:cs="Tahoma"/>
          <w:color w:val="666666"/>
          <w:sz w:val="16"/>
          <w:szCs w:val="16"/>
        </w:rPr>
        <w:t>.</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Atentamente,</w:t>
      </w:r>
    </w:p>
    <w:p w:rsidR="00E84B02" w:rsidRDefault="00E84B02" w:rsidP="00E84B02">
      <w:pPr>
        <w:pStyle w:val="NormalWeb"/>
        <w:jc w:val="both"/>
        <w:rPr>
          <w:rFonts w:ascii="Arial" w:hAnsi="Arial" w:cs="Arial"/>
          <w:color w:val="666666"/>
          <w:sz w:val="21"/>
          <w:szCs w:val="21"/>
        </w:rPr>
      </w:pPr>
      <w:r>
        <w:rPr>
          <w:rStyle w:val="Textoennegrita"/>
          <w:rFonts w:ascii="Tahoma" w:hAnsi="Tahoma" w:cs="Tahoma"/>
          <w:color w:val="666666"/>
          <w:sz w:val="16"/>
          <w:szCs w:val="16"/>
        </w:rPr>
        <w:t>LUIS EDUARDO ATAYA ARIAS</w:t>
      </w:r>
    </w:p>
    <w:p w:rsidR="00E84B02" w:rsidRDefault="00E84B02" w:rsidP="00E84B02">
      <w:pPr>
        <w:pStyle w:val="NormalWeb"/>
        <w:jc w:val="both"/>
        <w:rPr>
          <w:rFonts w:ascii="Arial" w:hAnsi="Arial" w:cs="Arial"/>
          <w:color w:val="666666"/>
          <w:sz w:val="21"/>
          <w:szCs w:val="21"/>
        </w:rPr>
      </w:pPr>
      <w:r>
        <w:rPr>
          <w:rStyle w:val="Textoennegrita"/>
          <w:rFonts w:ascii="Tahoma" w:hAnsi="Tahoma" w:cs="Tahoma"/>
          <w:color w:val="666666"/>
          <w:sz w:val="16"/>
          <w:szCs w:val="16"/>
        </w:rPr>
        <w:t>Gobernador de Arauca</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 xml:space="preserve">CARLOS ARMANDO RAMIREZ </w:t>
      </w:r>
      <w:proofErr w:type="spellStart"/>
      <w:r>
        <w:rPr>
          <w:rFonts w:ascii="Tahoma" w:hAnsi="Tahoma" w:cs="Tahoma"/>
          <w:color w:val="666666"/>
          <w:sz w:val="16"/>
          <w:szCs w:val="16"/>
        </w:rPr>
        <w:t>RAMIREZ</w:t>
      </w:r>
      <w:proofErr w:type="spellEnd"/>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lastRenderedPageBreak/>
        <w:t>Asesor Jurídico</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Proyecto y Elaboró:</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LILIANA VIVAS PARADA</w:t>
      </w:r>
    </w:p>
    <w:p w:rsidR="00E84B02" w:rsidRDefault="00E84B02" w:rsidP="00E84B02">
      <w:pPr>
        <w:pStyle w:val="NormalWeb"/>
        <w:jc w:val="both"/>
        <w:rPr>
          <w:rFonts w:ascii="Arial" w:hAnsi="Arial" w:cs="Arial"/>
          <w:color w:val="666666"/>
          <w:sz w:val="21"/>
          <w:szCs w:val="21"/>
        </w:rPr>
      </w:pPr>
      <w:r>
        <w:rPr>
          <w:rFonts w:ascii="Tahoma" w:hAnsi="Tahoma" w:cs="Tahoma"/>
          <w:color w:val="666666"/>
          <w:sz w:val="16"/>
          <w:szCs w:val="16"/>
        </w:rPr>
        <w:t>Profesional Especializado</w:t>
      </w:r>
    </w:p>
    <w:p w:rsidR="009B4D69" w:rsidRPr="00E84B02" w:rsidRDefault="009B4D69" w:rsidP="00E84B02"/>
    <w:sectPr w:rsidR="009B4D69" w:rsidRPr="00E84B0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5C274C"/>
    <w:multiLevelType w:val="multilevel"/>
    <w:tmpl w:val="98C0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1B5ADF"/>
    <w:rsid w:val="002B0E33"/>
    <w:rsid w:val="003D08CA"/>
    <w:rsid w:val="004A12DC"/>
    <w:rsid w:val="004D6578"/>
    <w:rsid w:val="00564320"/>
    <w:rsid w:val="00596125"/>
    <w:rsid w:val="005D31E6"/>
    <w:rsid w:val="0076420D"/>
    <w:rsid w:val="007F6E88"/>
    <w:rsid w:val="00872AFC"/>
    <w:rsid w:val="00925D95"/>
    <w:rsid w:val="009A1E73"/>
    <w:rsid w:val="009B45F8"/>
    <w:rsid w:val="009B4D69"/>
    <w:rsid w:val="00A62634"/>
    <w:rsid w:val="00AC47CB"/>
    <w:rsid w:val="00B7378B"/>
    <w:rsid w:val="00C46B4D"/>
    <w:rsid w:val="00E5125F"/>
    <w:rsid w:val="00E84B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5">
    <w:name w:val="heading 5"/>
    <w:basedOn w:val="Normal"/>
    <w:next w:val="Normal"/>
    <w:link w:val="Ttulo5Car"/>
    <w:uiPriority w:val="9"/>
    <w:semiHidden/>
    <w:unhideWhenUsed/>
    <w:qFormat/>
    <w:rsid w:val="00E84B02"/>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E84B0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 w:type="character" w:customStyle="1" w:styleId="Ttulo5Car">
    <w:name w:val="Título 5 Car"/>
    <w:basedOn w:val="Fuentedeprrafopredeter"/>
    <w:link w:val="Ttulo5"/>
    <w:uiPriority w:val="9"/>
    <w:semiHidden/>
    <w:rsid w:val="00E84B02"/>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E84B02"/>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40984395">
      <w:bodyDiv w:val="1"/>
      <w:marLeft w:val="0"/>
      <w:marRight w:val="0"/>
      <w:marTop w:val="0"/>
      <w:marBottom w:val="0"/>
      <w:divBdr>
        <w:top w:val="none" w:sz="0" w:space="0" w:color="auto"/>
        <w:left w:val="none" w:sz="0" w:space="0" w:color="auto"/>
        <w:bottom w:val="none" w:sz="0" w:space="0" w:color="auto"/>
        <w:right w:val="none" w:sz="0" w:space="0" w:color="auto"/>
      </w:divBdr>
    </w:div>
    <w:div w:id="181631572">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483619297">
      <w:bodyDiv w:val="1"/>
      <w:marLeft w:val="0"/>
      <w:marRight w:val="0"/>
      <w:marTop w:val="0"/>
      <w:marBottom w:val="0"/>
      <w:divBdr>
        <w:top w:val="none" w:sz="0" w:space="0" w:color="auto"/>
        <w:left w:val="none" w:sz="0" w:space="0" w:color="auto"/>
        <w:bottom w:val="none" w:sz="0" w:space="0" w:color="auto"/>
        <w:right w:val="none" w:sz="0" w:space="0" w:color="auto"/>
      </w:divBdr>
    </w:div>
    <w:div w:id="578560799">
      <w:bodyDiv w:val="1"/>
      <w:marLeft w:val="0"/>
      <w:marRight w:val="0"/>
      <w:marTop w:val="0"/>
      <w:marBottom w:val="0"/>
      <w:divBdr>
        <w:top w:val="none" w:sz="0" w:space="0" w:color="auto"/>
        <w:left w:val="none" w:sz="0" w:space="0" w:color="auto"/>
        <w:bottom w:val="none" w:sz="0" w:space="0" w:color="auto"/>
        <w:right w:val="none" w:sz="0" w:space="0" w:color="auto"/>
      </w:divBdr>
    </w:div>
    <w:div w:id="689917246">
      <w:bodyDiv w:val="1"/>
      <w:marLeft w:val="0"/>
      <w:marRight w:val="0"/>
      <w:marTop w:val="0"/>
      <w:marBottom w:val="0"/>
      <w:divBdr>
        <w:top w:val="none" w:sz="0" w:space="0" w:color="auto"/>
        <w:left w:val="none" w:sz="0" w:space="0" w:color="auto"/>
        <w:bottom w:val="none" w:sz="0" w:space="0" w:color="auto"/>
        <w:right w:val="none" w:sz="0" w:space="0" w:color="auto"/>
      </w:divBdr>
    </w:div>
    <w:div w:id="821242260">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26957872">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062555814">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436514036">
      <w:bodyDiv w:val="1"/>
      <w:marLeft w:val="0"/>
      <w:marRight w:val="0"/>
      <w:marTop w:val="0"/>
      <w:marBottom w:val="0"/>
      <w:divBdr>
        <w:top w:val="none" w:sz="0" w:space="0" w:color="auto"/>
        <w:left w:val="none" w:sz="0" w:space="0" w:color="auto"/>
        <w:bottom w:val="none" w:sz="0" w:space="0" w:color="auto"/>
        <w:right w:val="none" w:sz="0" w:space="0" w:color="auto"/>
      </w:divBdr>
    </w:div>
    <w:div w:id="1493525478">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34616711">
      <w:bodyDiv w:val="1"/>
      <w:marLeft w:val="0"/>
      <w:marRight w:val="0"/>
      <w:marTop w:val="0"/>
      <w:marBottom w:val="0"/>
      <w:divBdr>
        <w:top w:val="none" w:sz="0" w:space="0" w:color="auto"/>
        <w:left w:val="none" w:sz="0" w:space="0" w:color="auto"/>
        <w:bottom w:val="none" w:sz="0" w:space="0" w:color="auto"/>
        <w:right w:val="none" w:sz="0" w:space="0" w:color="auto"/>
      </w:divBdr>
    </w:div>
    <w:div w:id="1771273130">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5059</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2017-01-20T15:26:00Z</dcterms:created>
  <dcterms:modified xsi:type="dcterms:W3CDTF">2017-01-20T15:26:00Z</dcterms:modified>
</cp:coreProperties>
</file>